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B7673" w:rsidRPr="00EC20EF" w:rsidRDefault="008B7673" w:rsidP="00EC20E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7673" w:rsidRPr="00EC20EF" w:rsidRDefault="008B7673" w:rsidP="00EC20E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7673" w:rsidRPr="00EC20EF" w:rsidRDefault="008B7673" w:rsidP="00EC20E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20EF" w:rsidRPr="00EC20EF" w:rsidRDefault="00EC20EF" w:rsidP="00EC20E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20EF">
        <w:rPr>
          <w:rFonts w:ascii="Times New Roman" w:hAnsi="Times New Roman" w:cs="Times New Roman"/>
          <w:b/>
          <w:bCs/>
          <w:sz w:val="24"/>
          <w:szCs w:val="24"/>
        </w:rPr>
        <w:t>Milestone III</w:t>
      </w:r>
    </w:p>
    <w:p w:rsidR="00EC20EF" w:rsidRPr="00EC20EF" w:rsidRDefault="00EC20EF" w:rsidP="00EC20E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20EF">
        <w:rPr>
          <w:rFonts w:ascii="Times New Roman" w:hAnsi="Times New Roman" w:cs="Times New Roman"/>
          <w:b/>
          <w:bCs/>
          <w:sz w:val="24"/>
          <w:szCs w:val="24"/>
        </w:rPr>
        <w:t xml:space="preserve">ACC 690 </w:t>
      </w:r>
    </w:p>
    <w:p w:rsidR="008B7673" w:rsidRPr="00EC20EF" w:rsidRDefault="008B7673" w:rsidP="00EC20E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7673" w:rsidRPr="00EC20EF" w:rsidRDefault="008B7673" w:rsidP="00EC20E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7673" w:rsidRPr="00EC20EF" w:rsidRDefault="008B7673" w:rsidP="00EC20E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7673" w:rsidRPr="00EC20EF" w:rsidRDefault="008B7673" w:rsidP="00EC20E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20EF" w:rsidRPr="00EC20EF" w:rsidRDefault="00EC20EF" w:rsidP="00EC20E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20EF" w:rsidRPr="00EC20EF" w:rsidRDefault="00EC20EF" w:rsidP="00EC20E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20EF" w:rsidRPr="00EC20EF" w:rsidRDefault="00EC20EF" w:rsidP="00EC20E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20EF" w:rsidRPr="00EC20EF" w:rsidRDefault="00EC20EF" w:rsidP="00EC20E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7673" w:rsidRPr="00EC20EF" w:rsidRDefault="00EC20EF" w:rsidP="00EC20E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20EF">
        <w:rPr>
          <w:rFonts w:ascii="Times New Roman" w:hAnsi="Times New Roman" w:cs="Times New Roman"/>
          <w:b/>
          <w:bCs/>
          <w:sz w:val="24"/>
          <w:szCs w:val="24"/>
        </w:rPr>
        <w:t>Jeff Carlson</w:t>
      </w:r>
    </w:p>
    <w:p w:rsidR="008B7673" w:rsidRPr="00EC20EF" w:rsidRDefault="008B7673" w:rsidP="00EC20E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20EF" w:rsidRDefault="00EC20EF" w:rsidP="00EC20E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20EF" w:rsidRDefault="00EC20EF" w:rsidP="00EC20E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20EF" w:rsidRPr="00EC20EF" w:rsidRDefault="00EC20EF" w:rsidP="00EC20E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20EF" w:rsidRPr="00EC20EF" w:rsidRDefault="00EC20EF" w:rsidP="00EC20E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C20EF">
        <w:rPr>
          <w:rFonts w:ascii="Times New Roman" w:hAnsi="Times New Roman" w:cs="Times New Roman"/>
          <w:b/>
          <w:sz w:val="24"/>
          <w:szCs w:val="24"/>
        </w:rPr>
        <w:t>Incorporation</w:t>
      </w:r>
    </w:p>
    <w:p w:rsidR="00095047" w:rsidRPr="00EC20EF" w:rsidRDefault="00892855" w:rsidP="00EC20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C20EF">
        <w:rPr>
          <w:rFonts w:ascii="Times New Roman" w:hAnsi="Times New Roman" w:cs="Times New Roman"/>
          <w:sz w:val="24"/>
          <w:szCs w:val="24"/>
        </w:rPr>
        <w:lastRenderedPageBreak/>
        <w:t>Incorporation</w:t>
      </w:r>
      <w:r w:rsidR="00CF7F03" w:rsidRPr="00EC20EF">
        <w:rPr>
          <w:rFonts w:ascii="Times New Roman" w:hAnsi="Times New Roman" w:cs="Times New Roman"/>
          <w:sz w:val="24"/>
          <w:szCs w:val="24"/>
        </w:rPr>
        <w:t xml:space="preserve"> is a formal process used in the formation of </w:t>
      </w:r>
      <w:r w:rsidR="00036444" w:rsidRPr="00EC20EF">
        <w:rPr>
          <w:rFonts w:ascii="Times New Roman" w:hAnsi="Times New Roman" w:cs="Times New Roman"/>
          <w:sz w:val="24"/>
          <w:szCs w:val="24"/>
        </w:rPr>
        <w:t xml:space="preserve">a </w:t>
      </w:r>
      <w:r w:rsidR="00CF7F03" w:rsidRPr="00EC20EF">
        <w:rPr>
          <w:rFonts w:ascii="Times New Roman" w:hAnsi="Times New Roman" w:cs="Times New Roman"/>
          <w:sz w:val="24"/>
          <w:szCs w:val="24"/>
        </w:rPr>
        <w:t xml:space="preserve">company or a corporate entity. </w:t>
      </w:r>
      <w:r w:rsidR="00957009" w:rsidRPr="00EC20EF">
        <w:rPr>
          <w:rFonts w:ascii="Times New Roman" w:hAnsi="Times New Roman" w:cs="Times New Roman"/>
          <w:sz w:val="24"/>
          <w:szCs w:val="24"/>
        </w:rPr>
        <w:t xml:space="preserve"> </w:t>
      </w:r>
      <w:r w:rsidR="00036444" w:rsidRPr="00EC20EF">
        <w:rPr>
          <w:rFonts w:ascii="Times New Roman" w:hAnsi="Times New Roman" w:cs="Times New Roman"/>
          <w:sz w:val="24"/>
          <w:szCs w:val="24"/>
        </w:rPr>
        <w:t>An organization's structure</w:t>
      </w:r>
      <w:r w:rsidR="00957009" w:rsidRPr="00EC20EF">
        <w:rPr>
          <w:rFonts w:ascii="Times New Roman" w:hAnsi="Times New Roman" w:cs="Times New Roman"/>
          <w:sz w:val="24"/>
          <w:szCs w:val="24"/>
        </w:rPr>
        <w:t xml:space="preserve"> is </w:t>
      </w:r>
      <w:r w:rsidR="00036444" w:rsidRPr="00EC20EF">
        <w:rPr>
          <w:rFonts w:ascii="Times New Roman" w:hAnsi="Times New Roman" w:cs="Times New Roman"/>
          <w:sz w:val="24"/>
          <w:szCs w:val="24"/>
        </w:rPr>
        <w:t xml:space="preserve">of </w:t>
      </w:r>
      <w:r w:rsidR="00957009" w:rsidRPr="00EC20EF">
        <w:rPr>
          <w:rFonts w:ascii="Times New Roman" w:hAnsi="Times New Roman" w:cs="Times New Roman"/>
          <w:sz w:val="24"/>
          <w:szCs w:val="24"/>
        </w:rPr>
        <w:t xml:space="preserve">great importance to </w:t>
      </w:r>
      <w:r w:rsidR="00036444" w:rsidRPr="00EC20EF">
        <w:rPr>
          <w:rFonts w:ascii="Times New Roman" w:hAnsi="Times New Roman" w:cs="Times New Roman"/>
          <w:sz w:val="24"/>
          <w:szCs w:val="24"/>
        </w:rPr>
        <w:t>running</w:t>
      </w:r>
      <w:r w:rsidR="00957009" w:rsidRPr="00EC20EF">
        <w:rPr>
          <w:rFonts w:ascii="Times New Roman" w:hAnsi="Times New Roman" w:cs="Times New Roman"/>
          <w:sz w:val="24"/>
          <w:szCs w:val="24"/>
        </w:rPr>
        <w:t xml:space="preserve"> operations and achieving a company</w:t>
      </w:r>
      <w:r w:rsidR="00036444" w:rsidRPr="00EC20EF">
        <w:rPr>
          <w:rFonts w:ascii="Times New Roman" w:hAnsi="Times New Roman" w:cs="Times New Roman"/>
          <w:sz w:val="24"/>
          <w:szCs w:val="24"/>
        </w:rPr>
        <w:t>'</w:t>
      </w:r>
      <w:r w:rsidR="00957009" w:rsidRPr="00EC20EF">
        <w:rPr>
          <w:rFonts w:ascii="Times New Roman" w:hAnsi="Times New Roman" w:cs="Times New Roman"/>
          <w:sz w:val="24"/>
          <w:szCs w:val="24"/>
        </w:rPr>
        <w:t>s goals</w:t>
      </w:r>
      <w:r w:rsidR="00CB482C" w:rsidRPr="00EC20EF">
        <w:rPr>
          <w:rFonts w:ascii="Times New Roman" w:hAnsi="Times New Roman" w:cs="Times New Roman"/>
          <w:sz w:val="24"/>
          <w:szCs w:val="24"/>
        </w:rPr>
        <w:t xml:space="preserve"> (Lee &amp; Kang, 2019)</w:t>
      </w:r>
      <w:r w:rsidR="00957009" w:rsidRPr="00EC20EF">
        <w:rPr>
          <w:rFonts w:ascii="Times New Roman" w:hAnsi="Times New Roman" w:cs="Times New Roman"/>
          <w:sz w:val="24"/>
          <w:szCs w:val="24"/>
        </w:rPr>
        <w:t xml:space="preserve">. Several </w:t>
      </w:r>
      <w:r w:rsidR="00095047" w:rsidRPr="00EC20EF">
        <w:rPr>
          <w:rFonts w:ascii="Times New Roman" w:hAnsi="Times New Roman" w:cs="Times New Roman"/>
          <w:sz w:val="24"/>
          <w:szCs w:val="24"/>
        </w:rPr>
        <w:t>considerations</w:t>
      </w:r>
      <w:r w:rsidR="00036444" w:rsidRPr="00EC20EF">
        <w:rPr>
          <w:rFonts w:ascii="Times New Roman" w:hAnsi="Times New Roman" w:cs="Times New Roman"/>
          <w:sz w:val="24"/>
          <w:szCs w:val="24"/>
        </w:rPr>
        <w:t>,</w:t>
      </w:r>
      <w:r w:rsidR="00095047" w:rsidRPr="00EC20EF">
        <w:rPr>
          <w:rFonts w:ascii="Times New Roman" w:hAnsi="Times New Roman" w:cs="Times New Roman"/>
          <w:sz w:val="24"/>
          <w:szCs w:val="24"/>
        </w:rPr>
        <w:t xml:space="preserve"> such </w:t>
      </w:r>
      <w:r w:rsidR="00036444" w:rsidRPr="00EC20EF">
        <w:rPr>
          <w:rFonts w:ascii="Times New Roman" w:hAnsi="Times New Roman" w:cs="Times New Roman"/>
          <w:sz w:val="24"/>
          <w:szCs w:val="24"/>
        </w:rPr>
        <w:t xml:space="preserve">as </w:t>
      </w:r>
      <w:r w:rsidR="00095047" w:rsidRPr="00EC20EF">
        <w:rPr>
          <w:rFonts w:ascii="Times New Roman" w:hAnsi="Times New Roman" w:cs="Times New Roman"/>
          <w:sz w:val="24"/>
          <w:szCs w:val="24"/>
        </w:rPr>
        <w:t>whether the business entity will be involved in international trade</w:t>
      </w:r>
      <w:r w:rsidR="00036444" w:rsidRPr="00EC20EF">
        <w:rPr>
          <w:rFonts w:ascii="Times New Roman" w:hAnsi="Times New Roman" w:cs="Times New Roman"/>
          <w:sz w:val="24"/>
          <w:szCs w:val="24"/>
        </w:rPr>
        <w:t>,</w:t>
      </w:r>
      <w:r w:rsidR="00095047" w:rsidRPr="00EC20EF">
        <w:rPr>
          <w:rFonts w:ascii="Times New Roman" w:hAnsi="Times New Roman" w:cs="Times New Roman"/>
          <w:sz w:val="24"/>
          <w:szCs w:val="24"/>
        </w:rPr>
        <w:t xml:space="preserve"> are made during </w:t>
      </w:r>
      <w:r w:rsidR="00036444" w:rsidRPr="00EC20EF">
        <w:rPr>
          <w:rFonts w:ascii="Times New Roman" w:hAnsi="Times New Roman" w:cs="Times New Roman"/>
          <w:sz w:val="24"/>
          <w:szCs w:val="24"/>
        </w:rPr>
        <w:t xml:space="preserve">the </w:t>
      </w:r>
      <w:r w:rsidR="00095047" w:rsidRPr="00EC20EF">
        <w:rPr>
          <w:rFonts w:ascii="Times New Roman" w:hAnsi="Times New Roman" w:cs="Times New Roman"/>
          <w:sz w:val="24"/>
          <w:szCs w:val="24"/>
        </w:rPr>
        <w:t>incorporation process</w:t>
      </w:r>
      <w:r w:rsidRPr="00EC20EF">
        <w:rPr>
          <w:rFonts w:ascii="Times New Roman" w:hAnsi="Times New Roman" w:cs="Times New Roman"/>
          <w:sz w:val="24"/>
          <w:szCs w:val="24"/>
        </w:rPr>
        <w:t xml:space="preserve"> (Guillen-Cuevas et al., 2018)</w:t>
      </w:r>
      <w:r w:rsidR="00095047" w:rsidRPr="00EC20EF">
        <w:rPr>
          <w:rFonts w:ascii="Times New Roman" w:hAnsi="Times New Roman" w:cs="Times New Roman"/>
          <w:sz w:val="24"/>
          <w:szCs w:val="24"/>
        </w:rPr>
        <w:t>.</w:t>
      </w:r>
      <w:r w:rsidR="00957009" w:rsidRPr="00EC20EF">
        <w:rPr>
          <w:rFonts w:ascii="Times New Roman" w:hAnsi="Times New Roman" w:cs="Times New Roman"/>
          <w:sz w:val="24"/>
          <w:szCs w:val="24"/>
        </w:rPr>
        <w:t xml:space="preserve">  </w:t>
      </w:r>
      <w:r w:rsidR="00095047" w:rsidRPr="00EC20EF">
        <w:rPr>
          <w:rFonts w:ascii="Times New Roman" w:hAnsi="Times New Roman" w:cs="Times New Roman"/>
          <w:sz w:val="24"/>
          <w:szCs w:val="24"/>
        </w:rPr>
        <w:t>Incorporation is also of great importance to the prospective client since it bolsters credibility</w:t>
      </w:r>
      <w:r w:rsidR="00036444" w:rsidRPr="00EC20EF">
        <w:rPr>
          <w:rFonts w:ascii="Times New Roman" w:hAnsi="Times New Roman" w:cs="Times New Roman"/>
          <w:sz w:val="24"/>
          <w:szCs w:val="24"/>
        </w:rPr>
        <w:t>, attracting even more new customers</w:t>
      </w:r>
      <w:r w:rsidR="00095047" w:rsidRPr="00EC20EF">
        <w:rPr>
          <w:rFonts w:ascii="Times New Roman" w:hAnsi="Times New Roman" w:cs="Times New Roman"/>
          <w:sz w:val="24"/>
          <w:szCs w:val="24"/>
        </w:rPr>
        <w:t>.</w:t>
      </w:r>
    </w:p>
    <w:p w:rsidR="00976339" w:rsidRPr="00EC20EF" w:rsidRDefault="00095047" w:rsidP="00EC20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C20EF">
        <w:rPr>
          <w:rFonts w:ascii="Times New Roman" w:hAnsi="Times New Roman" w:cs="Times New Roman"/>
          <w:sz w:val="24"/>
          <w:szCs w:val="24"/>
        </w:rPr>
        <w:t xml:space="preserve">Foreign exchange </w:t>
      </w:r>
      <w:r w:rsidR="00522A02" w:rsidRPr="00EC20EF">
        <w:rPr>
          <w:rFonts w:ascii="Times New Roman" w:hAnsi="Times New Roman" w:cs="Times New Roman"/>
          <w:sz w:val="24"/>
          <w:szCs w:val="24"/>
        </w:rPr>
        <w:t xml:space="preserve">rates have a significant impact on </w:t>
      </w:r>
      <w:r w:rsidR="00036444" w:rsidRPr="00EC20EF">
        <w:rPr>
          <w:rFonts w:ascii="Times New Roman" w:hAnsi="Times New Roman" w:cs="Times New Roman"/>
          <w:sz w:val="24"/>
          <w:szCs w:val="24"/>
        </w:rPr>
        <w:t>a company's financial statement</w:t>
      </w:r>
      <w:r w:rsidR="00522A02" w:rsidRPr="00EC20EF">
        <w:rPr>
          <w:rFonts w:ascii="Times New Roman" w:hAnsi="Times New Roman" w:cs="Times New Roman"/>
          <w:sz w:val="24"/>
          <w:szCs w:val="24"/>
        </w:rPr>
        <w:t xml:space="preserve"> that is involved with foreign exchange transactions. These transactions usually involve the purchasing and selling of foreign currency</w:t>
      </w:r>
      <w:r w:rsidR="00892855" w:rsidRPr="00EC20E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892855" w:rsidRPr="00EC20EF">
        <w:rPr>
          <w:rFonts w:ascii="Times New Roman" w:hAnsi="Times New Roman" w:cs="Times New Roman"/>
          <w:sz w:val="24"/>
          <w:szCs w:val="24"/>
        </w:rPr>
        <w:t>Shamsudin</w:t>
      </w:r>
      <w:proofErr w:type="spellEnd"/>
      <w:r w:rsidR="00892855" w:rsidRPr="00EC20EF">
        <w:rPr>
          <w:rFonts w:ascii="Times New Roman" w:hAnsi="Times New Roman" w:cs="Times New Roman"/>
          <w:sz w:val="24"/>
          <w:szCs w:val="24"/>
        </w:rPr>
        <w:t>, 2017)</w:t>
      </w:r>
      <w:r w:rsidR="00522A02" w:rsidRPr="00EC20EF">
        <w:rPr>
          <w:rFonts w:ascii="Times New Roman" w:hAnsi="Times New Roman" w:cs="Times New Roman"/>
          <w:sz w:val="24"/>
          <w:szCs w:val="24"/>
        </w:rPr>
        <w:t xml:space="preserve">. </w:t>
      </w:r>
      <w:r w:rsidR="00C57955" w:rsidRPr="00EC20EF">
        <w:rPr>
          <w:rFonts w:ascii="Times New Roman" w:hAnsi="Times New Roman" w:cs="Times New Roman"/>
          <w:sz w:val="24"/>
          <w:szCs w:val="24"/>
        </w:rPr>
        <w:t xml:space="preserve"> Various economic theories support that consistent changes in foreign exchange rates have </w:t>
      </w:r>
      <w:r w:rsidR="00036444" w:rsidRPr="00EC20EF">
        <w:rPr>
          <w:rFonts w:ascii="Times New Roman" w:hAnsi="Times New Roman" w:cs="Times New Roman"/>
          <w:sz w:val="24"/>
          <w:szCs w:val="24"/>
        </w:rPr>
        <w:t xml:space="preserve">a </w:t>
      </w:r>
      <w:r w:rsidR="00C57955" w:rsidRPr="00EC20EF">
        <w:rPr>
          <w:rFonts w:ascii="Times New Roman" w:hAnsi="Times New Roman" w:cs="Times New Roman"/>
          <w:sz w:val="24"/>
          <w:szCs w:val="24"/>
        </w:rPr>
        <w:t>significant direct impact that causes a shift in stock prices</w:t>
      </w:r>
      <w:r w:rsidR="00B02D60" w:rsidRPr="00EC20EF">
        <w:rPr>
          <w:rFonts w:ascii="Times New Roman" w:hAnsi="Times New Roman" w:cs="Times New Roman"/>
          <w:sz w:val="24"/>
          <w:szCs w:val="24"/>
        </w:rPr>
        <w:t>. This is mainly evident amongst multinational companies and import and export firms. The effect of exchange on such components of the financial statement calls for special treatment of th</w:t>
      </w:r>
      <w:r w:rsidR="00036444" w:rsidRPr="00EC20EF">
        <w:rPr>
          <w:rFonts w:ascii="Times New Roman" w:hAnsi="Times New Roman" w:cs="Times New Roman"/>
          <w:sz w:val="24"/>
          <w:szCs w:val="24"/>
        </w:rPr>
        <w:t>ese</w:t>
      </w:r>
      <w:r w:rsidR="00B02D60" w:rsidRPr="00EC20EF">
        <w:rPr>
          <w:rFonts w:ascii="Times New Roman" w:hAnsi="Times New Roman" w:cs="Times New Roman"/>
          <w:sz w:val="24"/>
          <w:szCs w:val="24"/>
        </w:rPr>
        <w:t xml:space="preserve"> variables when making financial statements</w:t>
      </w:r>
      <w:r w:rsidR="00892855" w:rsidRPr="00EC20EF">
        <w:rPr>
          <w:rFonts w:ascii="Times New Roman" w:hAnsi="Times New Roman" w:cs="Times New Roman"/>
          <w:sz w:val="24"/>
          <w:szCs w:val="24"/>
        </w:rPr>
        <w:t xml:space="preserve"> (Robinson, 2020)</w:t>
      </w:r>
      <w:r w:rsidR="00B02D60" w:rsidRPr="00EC20EF">
        <w:rPr>
          <w:rFonts w:ascii="Times New Roman" w:hAnsi="Times New Roman" w:cs="Times New Roman"/>
          <w:sz w:val="24"/>
          <w:szCs w:val="24"/>
        </w:rPr>
        <w:t xml:space="preserve">. </w:t>
      </w:r>
      <w:r w:rsidR="00036444" w:rsidRPr="00EC20EF">
        <w:rPr>
          <w:rFonts w:ascii="Times New Roman" w:hAnsi="Times New Roman" w:cs="Times New Roman"/>
          <w:sz w:val="24"/>
          <w:szCs w:val="24"/>
        </w:rPr>
        <w:t>Therefore, a business entity is</w:t>
      </w:r>
      <w:r w:rsidR="00B02D60" w:rsidRPr="00EC20EF">
        <w:rPr>
          <w:rFonts w:ascii="Times New Roman" w:hAnsi="Times New Roman" w:cs="Times New Roman"/>
          <w:sz w:val="24"/>
          <w:szCs w:val="24"/>
        </w:rPr>
        <w:t xml:space="preserve"> expected to follow the guidelines of the international accounting standards (IAS</w:t>
      </w:r>
      <w:r w:rsidR="00D62058" w:rsidRPr="00EC20EF">
        <w:rPr>
          <w:rFonts w:ascii="Times New Roman" w:hAnsi="Times New Roman" w:cs="Times New Roman"/>
          <w:sz w:val="24"/>
          <w:szCs w:val="24"/>
        </w:rPr>
        <w:t xml:space="preserve"> 21</w:t>
      </w:r>
      <w:r w:rsidR="00B02D60" w:rsidRPr="00EC20EF">
        <w:rPr>
          <w:rFonts w:ascii="Times New Roman" w:hAnsi="Times New Roman" w:cs="Times New Roman"/>
          <w:sz w:val="24"/>
          <w:szCs w:val="24"/>
        </w:rPr>
        <w:t>)</w:t>
      </w:r>
      <w:r w:rsidR="00D62058" w:rsidRPr="00EC20EF">
        <w:rPr>
          <w:rFonts w:ascii="Times New Roman" w:hAnsi="Times New Roman" w:cs="Times New Roman"/>
          <w:sz w:val="24"/>
          <w:szCs w:val="24"/>
        </w:rPr>
        <w:t xml:space="preserve"> on how to treat and translate its financial statement into a presentation currency.</w:t>
      </w:r>
    </w:p>
    <w:p w:rsidR="006048C9" w:rsidRPr="00EC20EF" w:rsidRDefault="00036444" w:rsidP="00EC20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C20EF">
        <w:rPr>
          <w:rFonts w:ascii="Times New Roman" w:hAnsi="Times New Roman" w:cs="Times New Roman"/>
          <w:sz w:val="24"/>
          <w:szCs w:val="24"/>
        </w:rPr>
        <w:t>Also</w:t>
      </w:r>
      <w:r w:rsidR="00D62058" w:rsidRPr="00EC20EF">
        <w:rPr>
          <w:rFonts w:ascii="Times New Roman" w:hAnsi="Times New Roman" w:cs="Times New Roman"/>
          <w:sz w:val="24"/>
          <w:szCs w:val="24"/>
        </w:rPr>
        <w:t xml:space="preserve">, </w:t>
      </w:r>
      <w:r w:rsidRPr="00EC20EF">
        <w:rPr>
          <w:rFonts w:ascii="Times New Roman" w:hAnsi="Times New Roman" w:cs="Times New Roman"/>
          <w:sz w:val="24"/>
          <w:szCs w:val="24"/>
        </w:rPr>
        <w:t xml:space="preserve">the </w:t>
      </w:r>
      <w:r w:rsidR="00D62058" w:rsidRPr="00EC20EF">
        <w:rPr>
          <w:rFonts w:ascii="Times New Roman" w:hAnsi="Times New Roman" w:cs="Times New Roman"/>
          <w:sz w:val="24"/>
          <w:szCs w:val="24"/>
        </w:rPr>
        <w:t>foreign exchange rate poses</w:t>
      </w:r>
      <w:r w:rsidRPr="00EC20EF">
        <w:rPr>
          <w:rFonts w:ascii="Times New Roman" w:hAnsi="Times New Roman" w:cs="Times New Roman"/>
          <w:sz w:val="24"/>
          <w:szCs w:val="24"/>
        </w:rPr>
        <w:t xml:space="preserve"> a</w:t>
      </w:r>
      <w:r w:rsidR="00D62058" w:rsidRPr="00EC20EF">
        <w:rPr>
          <w:rFonts w:ascii="Times New Roman" w:hAnsi="Times New Roman" w:cs="Times New Roman"/>
          <w:sz w:val="24"/>
          <w:szCs w:val="24"/>
        </w:rPr>
        <w:t xml:space="preserve"> threat to the operation </w:t>
      </w:r>
      <w:r w:rsidR="00FC050F" w:rsidRPr="00EC20EF">
        <w:rPr>
          <w:rFonts w:ascii="Times New Roman" w:hAnsi="Times New Roman" w:cs="Times New Roman"/>
          <w:sz w:val="24"/>
          <w:szCs w:val="24"/>
        </w:rPr>
        <w:t xml:space="preserve">of </w:t>
      </w:r>
      <w:r w:rsidRPr="00EC20EF">
        <w:rPr>
          <w:rFonts w:ascii="Times New Roman" w:hAnsi="Times New Roman" w:cs="Times New Roman"/>
          <w:sz w:val="24"/>
          <w:szCs w:val="24"/>
        </w:rPr>
        <w:t xml:space="preserve">a </w:t>
      </w:r>
      <w:r w:rsidR="00FC050F" w:rsidRPr="00EC20EF">
        <w:rPr>
          <w:rFonts w:ascii="Times New Roman" w:hAnsi="Times New Roman" w:cs="Times New Roman"/>
          <w:sz w:val="24"/>
          <w:szCs w:val="24"/>
        </w:rPr>
        <w:t>given company. Th</w:t>
      </w:r>
      <w:r w:rsidRPr="00EC20EF">
        <w:rPr>
          <w:rFonts w:ascii="Times New Roman" w:hAnsi="Times New Roman" w:cs="Times New Roman"/>
          <w:sz w:val="24"/>
          <w:szCs w:val="24"/>
        </w:rPr>
        <w:t>ese</w:t>
      </w:r>
      <w:r w:rsidR="00FC050F" w:rsidRPr="00EC20EF">
        <w:rPr>
          <w:rFonts w:ascii="Times New Roman" w:hAnsi="Times New Roman" w:cs="Times New Roman"/>
          <w:sz w:val="24"/>
          <w:szCs w:val="24"/>
        </w:rPr>
        <w:t xml:space="preserve"> threats are the risk taken when doing </w:t>
      </w:r>
      <w:r w:rsidRPr="00EC20EF">
        <w:rPr>
          <w:rFonts w:ascii="Times New Roman" w:hAnsi="Times New Roman" w:cs="Times New Roman"/>
          <w:sz w:val="24"/>
          <w:szCs w:val="24"/>
        </w:rPr>
        <w:t xml:space="preserve">an </w:t>
      </w:r>
      <w:r w:rsidR="00FC050F" w:rsidRPr="00EC20EF">
        <w:rPr>
          <w:rFonts w:ascii="Times New Roman" w:hAnsi="Times New Roman" w:cs="Times New Roman"/>
          <w:sz w:val="24"/>
          <w:szCs w:val="24"/>
        </w:rPr>
        <w:t xml:space="preserve">international transaction or if a given entity keeps its financial statement in </w:t>
      </w:r>
      <w:r w:rsidRPr="00EC20EF">
        <w:rPr>
          <w:rFonts w:ascii="Times New Roman" w:hAnsi="Times New Roman" w:cs="Times New Roman"/>
          <w:sz w:val="24"/>
          <w:szCs w:val="24"/>
        </w:rPr>
        <w:t xml:space="preserve">a </w:t>
      </w:r>
      <w:r w:rsidR="00FC050F" w:rsidRPr="00EC20EF">
        <w:rPr>
          <w:rFonts w:ascii="Times New Roman" w:hAnsi="Times New Roman" w:cs="Times New Roman"/>
          <w:sz w:val="24"/>
          <w:szCs w:val="24"/>
        </w:rPr>
        <w:t>different currency from where it is headquartered</w:t>
      </w:r>
      <w:r w:rsidR="00892855" w:rsidRPr="00EC20E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892855" w:rsidRPr="00EC20EF">
        <w:rPr>
          <w:rFonts w:ascii="Times New Roman" w:hAnsi="Times New Roman" w:cs="Times New Roman"/>
          <w:sz w:val="24"/>
          <w:szCs w:val="24"/>
        </w:rPr>
        <w:t>Gebska</w:t>
      </w:r>
      <w:proofErr w:type="spellEnd"/>
      <w:r w:rsidR="00892855" w:rsidRPr="00EC20EF">
        <w:rPr>
          <w:rFonts w:ascii="Times New Roman" w:hAnsi="Times New Roman" w:cs="Times New Roman"/>
          <w:sz w:val="24"/>
          <w:szCs w:val="24"/>
        </w:rPr>
        <w:t>, 2020)</w:t>
      </w:r>
      <w:r w:rsidR="00FC050F" w:rsidRPr="00EC20EF">
        <w:rPr>
          <w:rFonts w:ascii="Times New Roman" w:hAnsi="Times New Roman" w:cs="Times New Roman"/>
          <w:sz w:val="24"/>
          <w:szCs w:val="24"/>
        </w:rPr>
        <w:t xml:space="preserve">. This risk also affects both the existing and prospective investors of a company since they </w:t>
      </w:r>
      <w:r w:rsidRPr="00EC20EF">
        <w:rPr>
          <w:rFonts w:ascii="Times New Roman" w:hAnsi="Times New Roman" w:cs="Times New Roman"/>
          <w:sz w:val="24"/>
          <w:szCs w:val="24"/>
        </w:rPr>
        <w:t>significantly affect</w:t>
      </w:r>
      <w:r w:rsidR="00FC050F" w:rsidRPr="00EC20EF">
        <w:rPr>
          <w:rFonts w:ascii="Times New Roman" w:hAnsi="Times New Roman" w:cs="Times New Roman"/>
          <w:sz w:val="24"/>
          <w:szCs w:val="24"/>
        </w:rPr>
        <w:t xml:space="preserve"> the </w:t>
      </w:r>
      <w:r w:rsidRPr="00EC20EF">
        <w:rPr>
          <w:rFonts w:ascii="Times New Roman" w:hAnsi="Times New Roman" w:cs="Times New Roman"/>
          <w:sz w:val="24"/>
          <w:szCs w:val="24"/>
        </w:rPr>
        <w:t>company's dividends and</w:t>
      </w:r>
      <w:r w:rsidR="00FC050F" w:rsidRPr="00EC20EF">
        <w:rPr>
          <w:rFonts w:ascii="Times New Roman" w:hAnsi="Times New Roman" w:cs="Times New Roman"/>
          <w:sz w:val="24"/>
          <w:szCs w:val="24"/>
        </w:rPr>
        <w:t xml:space="preserve"> share prices. This </w:t>
      </w:r>
      <w:r w:rsidR="00A7334E" w:rsidRPr="00EC20EF">
        <w:rPr>
          <w:rFonts w:ascii="Times New Roman" w:hAnsi="Times New Roman" w:cs="Times New Roman"/>
          <w:sz w:val="24"/>
          <w:szCs w:val="24"/>
        </w:rPr>
        <w:t>risk can be subdivided into transaction risk, economic risk</w:t>
      </w:r>
      <w:r w:rsidRPr="00EC20EF">
        <w:rPr>
          <w:rFonts w:ascii="Times New Roman" w:hAnsi="Times New Roman" w:cs="Times New Roman"/>
          <w:sz w:val="24"/>
          <w:szCs w:val="24"/>
        </w:rPr>
        <w:t>,</w:t>
      </w:r>
      <w:r w:rsidR="00A7334E" w:rsidRPr="00EC20EF">
        <w:rPr>
          <w:rFonts w:ascii="Times New Roman" w:hAnsi="Times New Roman" w:cs="Times New Roman"/>
          <w:sz w:val="24"/>
          <w:szCs w:val="24"/>
        </w:rPr>
        <w:t xml:space="preserve"> and translation risk. Translation risk</w:t>
      </w:r>
      <w:r w:rsidR="00717D92" w:rsidRPr="00EC20EF">
        <w:rPr>
          <w:rFonts w:ascii="Times New Roman" w:hAnsi="Times New Roman" w:cs="Times New Roman"/>
          <w:sz w:val="24"/>
          <w:szCs w:val="24"/>
        </w:rPr>
        <w:t>s</w:t>
      </w:r>
      <w:r w:rsidR="00A7334E" w:rsidRPr="00EC20EF">
        <w:rPr>
          <w:rFonts w:ascii="Times New Roman" w:hAnsi="Times New Roman" w:cs="Times New Roman"/>
          <w:sz w:val="24"/>
          <w:szCs w:val="24"/>
        </w:rPr>
        <w:t xml:space="preserve"> are the risk encountered by a company that conducting business outside the country it is headquartered but denotes its financial performance in the domestic currency. Economic risk is the forecast risk that affect</w:t>
      </w:r>
      <w:r w:rsidR="00717D92" w:rsidRPr="00EC20EF">
        <w:rPr>
          <w:rFonts w:ascii="Times New Roman" w:hAnsi="Times New Roman" w:cs="Times New Roman"/>
          <w:sz w:val="24"/>
          <w:szCs w:val="24"/>
        </w:rPr>
        <w:t xml:space="preserve">s the </w:t>
      </w:r>
      <w:r w:rsidR="00717D92" w:rsidRPr="00EC20EF">
        <w:rPr>
          <w:rFonts w:ascii="Times New Roman" w:hAnsi="Times New Roman" w:cs="Times New Roman"/>
          <w:sz w:val="24"/>
          <w:szCs w:val="24"/>
        </w:rPr>
        <w:lastRenderedPageBreak/>
        <w:t>company's market value</w:t>
      </w:r>
      <w:r w:rsidR="00A7334E" w:rsidRPr="00EC20EF">
        <w:rPr>
          <w:rFonts w:ascii="Times New Roman" w:hAnsi="Times New Roman" w:cs="Times New Roman"/>
          <w:sz w:val="24"/>
          <w:szCs w:val="24"/>
        </w:rPr>
        <w:t xml:space="preserve"> due to fluctuations in exchange rates</w:t>
      </w:r>
      <w:r w:rsidR="004834D3" w:rsidRPr="00EC20E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834D3" w:rsidRPr="00EC20EF">
        <w:rPr>
          <w:rFonts w:ascii="Times New Roman" w:hAnsi="Times New Roman" w:cs="Times New Roman"/>
          <w:sz w:val="24"/>
          <w:szCs w:val="24"/>
        </w:rPr>
        <w:t>Alagidele</w:t>
      </w:r>
      <w:proofErr w:type="spellEnd"/>
      <w:r w:rsidR="004834D3" w:rsidRPr="00EC20EF">
        <w:rPr>
          <w:rFonts w:ascii="Times New Roman" w:hAnsi="Times New Roman" w:cs="Times New Roman"/>
          <w:sz w:val="24"/>
          <w:szCs w:val="24"/>
        </w:rPr>
        <w:t xml:space="preserve"> &amp; Ibrahim, 2017)</w:t>
      </w:r>
      <w:r w:rsidR="00A7334E" w:rsidRPr="00EC20EF">
        <w:rPr>
          <w:rFonts w:ascii="Times New Roman" w:hAnsi="Times New Roman" w:cs="Times New Roman"/>
          <w:sz w:val="24"/>
          <w:szCs w:val="24"/>
        </w:rPr>
        <w:t xml:space="preserve">. On the other hand, transaction risk is the risk encountered by a company that makes </w:t>
      </w:r>
      <w:r w:rsidR="00717D92" w:rsidRPr="00EC20EF">
        <w:rPr>
          <w:rFonts w:ascii="Times New Roman" w:hAnsi="Times New Roman" w:cs="Times New Roman"/>
          <w:sz w:val="24"/>
          <w:szCs w:val="24"/>
        </w:rPr>
        <w:t xml:space="preserve">the </w:t>
      </w:r>
      <w:r w:rsidR="00A7334E" w:rsidRPr="00EC20EF">
        <w:rPr>
          <w:rFonts w:ascii="Times New Roman" w:hAnsi="Times New Roman" w:cs="Times New Roman"/>
          <w:sz w:val="24"/>
          <w:szCs w:val="24"/>
        </w:rPr>
        <w:t>international financial transaction caused by time delay.</w:t>
      </w:r>
    </w:p>
    <w:p w:rsidR="00A7334E" w:rsidRPr="00EC20EF" w:rsidRDefault="00895442" w:rsidP="00EC20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C20EF">
        <w:rPr>
          <w:rFonts w:ascii="Times New Roman" w:hAnsi="Times New Roman" w:cs="Times New Roman"/>
          <w:sz w:val="24"/>
          <w:szCs w:val="24"/>
        </w:rPr>
        <w:t>Companies that trade in foreign currency are usually required to translate the currencies to their jurisdiction</w:t>
      </w:r>
      <w:r w:rsidR="004834D3" w:rsidRPr="00EC20EF">
        <w:rPr>
          <w:rFonts w:ascii="Times New Roman" w:hAnsi="Times New Roman" w:cs="Times New Roman"/>
          <w:sz w:val="24"/>
          <w:szCs w:val="24"/>
        </w:rPr>
        <w:t xml:space="preserve"> (Natalie, 2017)</w:t>
      </w:r>
      <w:r w:rsidR="00717D92" w:rsidRPr="00EC20EF">
        <w:rPr>
          <w:rFonts w:ascii="Times New Roman" w:hAnsi="Times New Roman" w:cs="Times New Roman"/>
          <w:sz w:val="24"/>
          <w:szCs w:val="24"/>
        </w:rPr>
        <w:t>.</w:t>
      </w:r>
      <w:r w:rsidRPr="00EC20EF">
        <w:rPr>
          <w:rFonts w:ascii="Times New Roman" w:hAnsi="Times New Roman" w:cs="Times New Roman"/>
          <w:sz w:val="24"/>
          <w:szCs w:val="24"/>
        </w:rPr>
        <w:t xml:space="preserve"> </w:t>
      </w:r>
      <w:r w:rsidR="00717D92" w:rsidRPr="00EC20EF">
        <w:rPr>
          <w:rFonts w:ascii="Times New Roman" w:hAnsi="Times New Roman" w:cs="Times New Roman"/>
          <w:sz w:val="24"/>
          <w:szCs w:val="24"/>
        </w:rPr>
        <w:t>T</w:t>
      </w:r>
      <w:r w:rsidRPr="00EC20EF">
        <w:rPr>
          <w:rFonts w:ascii="Times New Roman" w:hAnsi="Times New Roman" w:cs="Times New Roman"/>
          <w:sz w:val="24"/>
          <w:szCs w:val="24"/>
        </w:rPr>
        <w:t xml:space="preserve">he companies should follow a given consistent translation method as per the international accounting standards to ensure </w:t>
      </w:r>
      <w:r w:rsidR="00717D92" w:rsidRPr="00EC20EF">
        <w:rPr>
          <w:rFonts w:ascii="Times New Roman" w:hAnsi="Times New Roman" w:cs="Times New Roman"/>
          <w:sz w:val="24"/>
          <w:szCs w:val="24"/>
        </w:rPr>
        <w:t xml:space="preserve">an </w:t>
      </w:r>
      <w:r w:rsidRPr="00EC20EF">
        <w:rPr>
          <w:rFonts w:ascii="Times New Roman" w:hAnsi="Times New Roman" w:cs="Times New Roman"/>
          <w:sz w:val="24"/>
          <w:szCs w:val="24"/>
        </w:rPr>
        <w:t xml:space="preserve">accurate reflection of the prevailing economic circumstances. The </w:t>
      </w:r>
      <w:r w:rsidR="00044D82" w:rsidRPr="00EC20EF">
        <w:rPr>
          <w:rFonts w:ascii="Times New Roman" w:hAnsi="Times New Roman" w:cs="Times New Roman"/>
          <w:sz w:val="24"/>
          <w:szCs w:val="24"/>
        </w:rPr>
        <w:t xml:space="preserve">current / non-current </w:t>
      </w:r>
      <w:r w:rsidRPr="00EC20EF">
        <w:rPr>
          <w:rFonts w:ascii="Times New Roman" w:hAnsi="Times New Roman" w:cs="Times New Roman"/>
          <w:sz w:val="24"/>
          <w:szCs w:val="24"/>
        </w:rPr>
        <w:t>and the monetary-nonmonetary translation are the two main method</w:t>
      </w:r>
      <w:r w:rsidR="00717D92" w:rsidRPr="00EC20EF">
        <w:rPr>
          <w:rFonts w:ascii="Times New Roman" w:hAnsi="Times New Roman" w:cs="Times New Roman"/>
          <w:sz w:val="24"/>
          <w:szCs w:val="24"/>
        </w:rPr>
        <w:t>s</w:t>
      </w:r>
      <w:r w:rsidRPr="00EC20EF">
        <w:rPr>
          <w:rFonts w:ascii="Times New Roman" w:hAnsi="Times New Roman" w:cs="Times New Roman"/>
          <w:sz w:val="24"/>
          <w:szCs w:val="24"/>
        </w:rPr>
        <w:t xml:space="preserve"> used. The </w:t>
      </w:r>
      <w:r w:rsidR="00044D82" w:rsidRPr="00EC20EF">
        <w:rPr>
          <w:rFonts w:ascii="Times New Roman" w:hAnsi="Times New Roman" w:cs="Times New Roman"/>
          <w:sz w:val="24"/>
          <w:szCs w:val="24"/>
        </w:rPr>
        <w:t xml:space="preserve">current / non-current </w:t>
      </w:r>
      <w:r w:rsidRPr="00EC20EF">
        <w:rPr>
          <w:rFonts w:ascii="Times New Roman" w:hAnsi="Times New Roman" w:cs="Times New Roman"/>
          <w:sz w:val="24"/>
          <w:szCs w:val="24"/>
        </w:rPr>
        <w:t>method</w:t>
      </w:r>
      <w:r w:rsidR="00044D82" w:rsidRPr="00EC20EF">
        <w:rPr>
          <w:rFonts w:ascii="Times New Roman" w:hAnsi="Times New Roman" w:cs="Times New Roman"/>
          <w:sz w:val="24"/>
          <w:szCs w:val="24"/>
        </w:rPr>
        <w:t xml:space="preserve"> converts the values of current assets and liabilities using the prevailing exchange rate as per the date of the balance sheet</w:t>
      </w:r>
      <w:r w:rsidR="006048C9" w:rsidRPr="00EC20EF">
        <w:rPr>
          <w:rFonts w:ascii="Times New Roman" w:hAnsi="Times New Roman" w:cs="Times New Roman"/>
          <w:sz w:val="24"/>
          <w:szCs w:val="24"/>
        </w:rPr>
        <w:t>.</w:t>
      </w:r>
      <w:r w:rsidR="00044D82" w:rsidRPr="00EC20EF">
        <w:rPr>
          <w:rFonts w:ascii="Times New Roman" w:hAnsi="Times New Roman" w:cs="Times New Roman"/>
          <w:sz w:val="24"/>
          <w:szCs w:val="24"/>
        </w:rPr>
        <w:t xml:space="preserve"> On the other hand, non-current liabilities and assets are converted using the historical rates</w:t>
      </w:r>
      <w:r w:rsidR="006048C9" w:rsidRPr="00EC20EF">
        <w:rPr>
          <w:rFonts w:ascii="Times New Roman" w:hAnsi="Times New Roman" w:cs="Times New Roman"/>
          <w:sz w:val="24"/>
          <w:szCs w:val="24"/>
        </w:rPr>
        <w:t xml:space="preserve"> </w:t>
      </w:r>
      <w:r w:rsidR="004834D3" w:rsidRPr="00EC20EF">
        <w:rPr>
          <w:rFonts w:ascii="Times New Roman" w:hAnsi="Times New Roman" w:cs="Times New Roman"/>
          <w:sz w:val="24"/>
          <w:szCs w:val="24"/>
        </w:rPr>
        <w:t>(Chen &amp; Zhao, 2019)</w:t>
      </w:r>
      <w:r w:rsidR="006048C9" w:rsidRPr="00EC20EF">
        <w:rPr>
          <w:rFonts w:ascii="Times New Roman" w:hAnsi="Times New Roman" w:cs="Times New Roman"/>
          <w:sz w:val="24"/>
          <w:szCs w:val="24"/>
        </w:rPr>
        <w:t>.</w:t>
      </w:r>
      <w:r w:rsidR="00044D82" w:rsidRPr="00EC20EF">
        <w:rPr>
          <w:rFonts w:ascii="Times New Roman" w:hAnsi="Times New Roman" w:cs="Times New Roman"/>
          <w:sz w:val="24"/>
          <w:szCs w:val="24"/>
        </w:rPr>
        <w:t xml:space="preserve"> </w:t>
      </w:r>
      <w:r w:rsidR="006048C9" w:rsidRPr="00EC20EF">
        <w:rPr>
          <w:rFonts w:ascii="Times New Roman" w:hAnsi="Times New Roman" w:cs="Times New Roman"/>
          <w:sz w:val="24"/>
          <w:szCs w:val="24"/>
        </w:rPr>
        <w:t xml:space="preserve">The monetary-nonmonetary method is employed </w:t>
      </w:r>
      <w:r w:rsidR="00717D92" w:rsidRPr="00EC20EF">
        <w:rPr>
          <w:rFonts w:ascii="Times New Roman" w:hAnsi="Times New Roman" w:cs="Times New Roman"/>
          <w:sz w:val="24"/>
          <w:szCs w:val="24"/>
        </w:rPr>
        <w:t>when</w:t>
      </w:r>
      <w:r w:rsidR="006048C9" w:rsidRPr="00EC20EF">
        <w:rPr>
          <w:rFonts w:ascii="Times New Roman" w:hAnsi="Times New Roman" w:cs="Times New Roman"/>
          <w:sz w:val="24"/>
          <w:szCs w:val="24"/>
        </w:rPr>
        <w:t xml:space="preserve"> </w:t>
      </w:r>
      <w:r w:rsidR="00717D92" w:rsidRPr="00EC20EF">
        <w:rPr>
          <w:rFonts w:ascii="Times New Roman" w:hAnsi="Times New Roman" w:cs="Times New Roman"/>
          <w:sz w:val="24"/>
          <w:szCs w:val="24"/>
        </w:rPr>
        <w:t xml:space="preserve">a </w:t>
      </w:r>
      <w:r w:rsidR="006048C9" w:rsidRPr="00EC20EF">
        <w:rPr>
          <w:rFonts w:ascii="Times New Roman" w:hAnsi="Times New Roman" w:cs="Times New Roman"/>
          <w:sz w:val="24"/>
          <w:szCs w:val="24"/>
        </w:rPr>
        <w:t>foreign subsidiary is significantly integrated with it</w:t>
      </w:r>
      <w:r w:rsidR="00717D92" w:rsidRPr="00EC20EF">
        <w:rPr>
          <w:rFonts w:ascii="Times New Roman" w:hAnsi="Times New Roman" w:cs="Times New Roman"/>
          <w:sz w:val="24"/>
          <w:szCs w:val="24"/>
        </w:rPr>
        <w:t>s</w:t>
      </w:r>
      <w:r w:rsidR="006048C9" w:rsidRPr="00EC20EF">
        <w:rPr>
          <w:rFonts w:ascii="Times New Roman" w:hAnsi="Times New Roman" w:cs="Times New Roman"/>
          <w:sz w:val="24"/>
          <w:szCs w:val="24"/>
        </w:rPr>
        <w:t xml:space="preserve"> mother company. It </w:t>
      </w:r>
      <w:r w:rsidR="00D26DEF" w:rsidRPr="00EC20EF">
        <w:rPr>
          <w:rFonts w:ascii="Times New Roman" w:hAnsi="Times New Roman" w:cs="Times New Roman"/>
          <w:sz w:val="24"/>
          <w:szCs w:val="24"/>
        </w:rPr>
        <w:t xml:space="preserve">aims at representing the translated amount as export from </w:t>
      </w:r>
      <w:r w:rsidR="00717D92" w:rsidRPr="00EC20EF">
        <w:rPr>
          <w:rFonts w:ascii="Times New Roman" w:hAnsi="Times New Roman" w:cs="Times New Roman"/>
          <w:sz w:val="24"/>
          <w:szCs w:val="24"/>
        </w:rPr>
        <w:t xml:space="preserve">the </w:t>
      </w:r>
      <w:r w:rsidR="00D26DEF" w:rsidRPr="00EC20EF">
        <w:rPr>
          <w:rFonts w:ascii="Times New Roman" w:hAnsi="Times New Roman" w:cs="Times New Roman"/>
          <w:sz w:val="24"/>
          <w:szCs w:val="24"/>
        </w:rPr>
        <w:t>mother company.</w:t>
      </w:r>
    </w:p>
    <w:p w:rsidR="00D26DEF" w:rsidRPr="00EC20EF" w:rsidRDefault="00D26DEF" w:rsidP="00EC20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C20EF">
        <w:rPr>
          <w:rFonts w:ascii="Times New Roman" w:hAnsi="Times New Roman" w:cs="Times New Roman"/>
          <w:sz w:val="24"/>
          <w:szCs w:val="24"/>
        </w:rPr>
        <w:t xml:space="preserve"> The functional currency is an important determinant of the method employed to translate financial statement</w:t>
      </w:r>
      <w:r w:rsidR="00717D92" w:rsidRPr="00EC20EF">
        <w:rPr>
          <w:rFonts w:ascii="Times New Roman" w:hAnsi="Times New Roman" w:cs="Times New Roman"/>
          <w:sz w:val="24"/>
          <w:szCs w:val="24"/>
        </w:rPr>
        <w:t>s</w:t>
      </w:r>
      <w:r w:rsidR="004834D3" w:rsidRPr="00EC20EF">
        <w:rPr>
          <w:rFonts w:ascii="Times New Roman" w:hAnsi="Times New Roman" w:cs="Times New Roman"/>
          <w:sz w:val="24"/>
          <w:szCs w:val="24"/>
        </w:rPr>
        <w:t xml:space="preserve"> (Fernandez et al., 2020)</w:t>
      </w:r>
      <w:r w:rsidRPr="00EC20EF">
        <w:rPr>
          <w:rFonts w:ascii="Times New Roman" w:hAnsi="Times New Roman" w:cs="Times New Roman"/>
          <w:sz w:val="24"/>
          <w:szCs w:val="24"/>
        </w:rPr>
        <w:t xml:space="preserve">. This currency is the main means </w:t>
      </w:r>
      <w:r w:rsidR="00717D92" w:rsidRPr="00EC20EF">
        <w:rPr>
          <w:rFonts w:ascii="Times New Roman" w:hAnsi="Times New Roman" w:cs="Times New Roman"/>
          <w:sz w:val="24"/>
          <w:szCs w:val="24"/>
        </w:rPr>
        <w:t>of payment to the company and is mostly the headquarter nation's currency</w:t>
      </w:r>
      <w:r w:rsidRPr="00EC20EF">
        <w:rPr>
          <w:rFonts w:ascii="Times New Roman" w:hAnsi="Times New Roman" w:cs="Times New Roman"/>
          <w:sz w:val="24"/>
          <w:szCs w:val="24"/>
        </w:rPr>
        <w:t>.</w:t>
      </w:r>
    </w:p>
    <w:p w:rsidR="00E85C97" w:rsidRPr="00EC20EF" w:rsidRDefault="00E85C97" w:rsidP="00EC20E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C20EF">
        <w:rPr>
          <w:rFonts w:ascii="Times New Roman" w:hAnsi="Times New Roman" w:cs="Times New Roman"/>
          <w:b/>
          <w:sz w:val="24"/>
          <w:szCs w:val="24"/>
        </w:rPr>
        <w:t xml:space="preserve">A hypothetical example showing the translation process using the two methods </w:t>
      </w:r>
    </w:p>
    <w:p w:rsidR="00036444" w:rsidRPr="00EC20EF" w:rsidRDefault="00044D82" w:rsidP="00EC20E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C20EF">
        <w:rPr>
          <w:rFonts w:ascii="Times New Roman" w:hAnsi="Times New Roman" w:cs="Times New Roman"/>
          <w:sz w:val="24"/>
          <w:szCs w:val="24"/>
        </w:rPr>
        <w:t xml:space="preserve">Suppose that </w:t>
      </w:r>
      <w:proofErr w:type="spellStart"/>
      <w:r w:rsidRPr="00EC20EF">
        <w:rPr>
          <w:rFonts w:ascii="Times New Roman" w:hAnsi="Times New Roman" w:cs="Times New Roman"/>
          <w:sz w:val="24"/>
          <w:szCs w:val="24"/>
        </w:rPr>
        <w:t>Bissvent</w:t>
      </w:r>
      <w:proofErr w:type="spellEnd"/>
      <w:r w:rsidRPr="00EC20EF">
        <w:rPr>
          <w:rFonts w:ascii="Times New Roman" w:hAnsi="Times New Roman" w:cs="Times New Roman"/>
          <w:sz w:val="24"/>
          <w:szCs w:val="24"/>
        </w:rPr>
        <w:t xml:space="preserve"> limited is a European subsidiary of </w:t>
      </w:r>
      <w:r w:rsidR="00717D92" w:rsidRPr="00EC20EF">
        <w:rPr>
          <w:rFonts w:ascii="Times New Roman" w:hAnsi="Times New Roman" w:cs="Times New Roman"/>
          <w:sz w:val="24"/>
          <w:szCs w:val="24"/>
        </w:rPr>
        <w:t xml:space="preserve">the </w:t>
      </w:r>
      <w:r w:rsidRPr="00EC20EF">
        <w:rPr>
          <w:rFonts w:ascii="Times New Roman" w:hAnsi="Times New Roman" w:cs="Times New Roman"/>
          <w:sz w:val="24"/>
          <w:szCs w:val="24"/>
        </w:rPr>
        <w:t xml:space="preserve">United </w:t>
      </w:r>
      <w:r w:rsidR="00717D92" w:rsidRPr="00EC20EF">
        <w:rPr>
          <w:rFonts w:ascii="Times New Roman" w:hAnsi="Times New Roman" w:cs="Times New Roman"/>
          <w:sz w:val="24"/>
          <w:szCs w:val="24"/>
        </w:rPr>
        <w:t>S</w:t>
      </w:r>
      <w:r w:rsidRPr="00EC20EF">
        <w:rPr>
          <w:rFonts w:ascii="Times New Roman" w:hAnsi="Times New Roman" w:cs="Times New Roman"/>
          <w:sz w:val="24"/>
          <w:szCs w:val="24"/>
        </w:rPr>
        <w:t>tates company.</w:t>
      </w:r>
    </w:p>
    <w:p w:rsidR="00036444" w:rsidRPr="00EC20EF" w:rsidRDefault="00036444" w:rsidP="00EC20E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C20EF">
        <w:rPr>
          <w:rFonts w:ascii="Times New Roman" w:hAnsi="Times New Roman" w:cs="Times New Roman"/>
          <w:b/>
          <w:sz w:val="24"/>
          <w:szCs w:val="24"/>
        </w:rPr>
        <w:t>The current / non-current</w:t>
      </w:r>
    </w:p>
    <w:p w:rsidR="00CB482C" w:rsidRPr="00EC20EF" w:rsidRDefault="00044D82" w:rsidP="00EC20E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C20EF">
        <w:rPr>
          <w:rFonts w:ascii="Times New Roman" w:hAnsi="Times New Roman" w:cs="Times New Roman"/>
          <w:sz w:val="24"/>
          <w:szCs w:val="24"/>
        </w:rPr>
        <w:t xml:space="preserve"> Consider the balance sheet below taking the historical exchange rates </w:t>
      </w:r>
      <w:r w:rsidR="00036444" w:rsidRPr="00EC20EF">
        <w:rPr>
          <w:rFonts w:ascii="Times New Roman" w:hAnsi="Times New Roman" w:cs="Times New Roman"/>
          <w:sz w:val="24"/>
          <w:szCs w:val="24"/>
        </w:rPr>
        <w:t>as €1= $1.20 and the current rate as €1=$ 1.15</w:t>
      </w:r>
    </w:p>
    <w:p w:rsidR="00036444" w:rsidRPr="00EC20EF" w:rsidRDefault="00036444" w:rsidP="00EC20E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C20E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9C07FF6" wp14:editId="7560C761">
            <wp:extent cx="5210175" cy="20193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6444" w:rsidRPr="00EC20EF" w:rsidRDefault="00036444" w:rsidP="00EC20E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C20EF">
        <w:rPr>
          <w:rFonts w:ascii="Times New Roman" w:hAnsi="Times New Roman" w:cs="Times New Roman"/>
          <w:b/>
          <w:sz w:val="24"/>
          <w:szCs w:val="24"/>
        </w:rPr>
        <w:t>The Monetary-Nonmonetary Method</w:t>
      </w:r>
    </w:p>
    <w:p w:rsidR="00036444" w:rsidRPr="00EC20EF" w:rsidRDefault="00036444" w:rsidP="00EC20E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C20EF">
        <w:rPr>
          <w:rFonts w:ascii="Times New Roman" w:hAnsi="Times New Roman" w:cs="Times New Roman"/>
          <w:sz w:val="24"/>
          <w:szCs w:val="24"/>
        </w:rPr>
        <w:t>In this case</w:t>
      </w:r>
      <w:r w:rsidR="00717D92" w:rsidRPr="00EC20EF">
        <w:rPr>
          <w:rFonts w:ascii="Times New Roman" w:hAnsi="Times New Roman" w:cs="Times New Roman"/>
          <w:sz w:val="24"/>
          <w:szCs w:val="24"/>
        </w:rPr>
        <w:t>,</w:t>
      </w:r>
      <w:r w:rsidRPr="00EC20EF">
        <w:rPr>
          <w:rFonts w:ascii="Times New Roman" w:hAnsi="Times New Roman" w:cs="Times New Roman"/>
          <w:sz w:val="24"/>
          <w:szCs w:val="24"/>
        </w:rPr>
        <w:t xml:space="preserve"> the balance sheet is prepared using the monetary-nonmonetary method</w:t>
      </w:r>
    </w:p>
    <w:p w:rsidR="00036444" w:rsidRPr="00EC20EF" w:rsidRDefault="00036444" w:rsidP="00EC20E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C20E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A06C968" wp14:editId="215580D3">
            <wp:extent cx="5334000" cy="20478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7673" w:rsidRPr="00EC20EF" w:rsidRDefault="008B7673" w:rsidP="00EC20E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B7673" w:rsidRDefault="008B7673" w:rsidP="00EC20E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C20EF" w:rsidRPr="00EC20EF" w:rsidRDefault="00EC20EF" w:rsidP="00EC20E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B7673" w:rsidRPr="00EC20EF" w:rsidRDefault="008B7673" w:rsidP="00EC20E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B482C" w:rsidRPr="00EC20EF" w:rsidRDefault="00CB482C" w:rsidP="00EC20E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C20EF">
        <w:rPr>
          <w:rFonts w:ascii="Times New Roman" w:hAnsi="Times New Roman" w:cs="Times New Roman"/>
          <w:b/>
          <w:sz w:val="24"/>
          <w:szCs w:val="24"/>
        </w:rPr>
        <w:t xml:space="preserve">References </w:t>
      </w:r>
    </w:p>
    <w:p w:rsidR="00E34EEA" w:rsidRPr="00EC20EF" w:rsidRDefault="00E34EEA" w:rsidP="00E34EE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EC20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Alagidede</w:t>
      </w:r>
      <w:proofErr w:type="spellEnd"/>
      <w:r w:rsidRPr="00EC20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P., &amp; Ibrahim, M. (2017). On the causes and effects of exchange rate volatility on economic growth: Evidence from Ghana. </w:t>
      </w:r>
      <w:r w:rsidRPr="00EC20E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African Business</w:t>
      </w:r>
      <w:r w:rsidRPr="00EC20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C20E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18</w:t>
      </w:r>
      <w:r w:rsidRPr="00EC20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169-193.</w:t>
      </w:r>
    </w:p>
    <w:p w:rsidR="00E34EEA" w:rsidRPr="00EC20EF" w:rsidRDefault="00E34EEA" w:rsidP="00E34EE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C20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CHEN, G., &amp; ZHAO, W. D. (2019). A Comparative Study of the Application of Temporal Method and Current Rate Method. </w:t>
      </w:r>
      <w:proofErr w:type="spellStart"/>
      <w:r w:rsidRPr="00EC20E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DEStech</w:t>
      </w:r>
      <w:proofErr w:type="spellEnd"/>
      <w:r w:rsidRPr="00EC20E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Transactions on Computer Science and Engineering</w:t>
      </w:r>
      <w:r w:rsidRPr="00EC20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(</w:t>
      </w:r>
      <w:proofErr w:type="spellStart"/>
      <w:r w:rsidRPr="00EC20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cmso</w:t>
      </w:r>
      <w:proofErr w:type="spellEnd"/>
      <w:r w:rsidRPr="00EC20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</w:t>
      </w:r>
    </w:p>
    <w:p w:rsidR="00E34EEA" w:rsidRPr="00EC20EF" w:rsidRDefault="00E34EEA" w:rsidP="00E34EE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EC20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Fernández</w:t>
      </w:r>
      <w:proofErr w:type="spellEnd"/>
      <w:r w:rsidRPr="00EC20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J., </w:t>
      </w:r>
      <w:proofErr w:type="spellStart"/>
      <w:r w:rsidRPr="00EC20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Pino</w:t>
      </w:r>
      <w:proofErr w:type="spellEnd"/>
      <w:r w:rsidRPr="00EC20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F., &amp; </w:t>
      </w:r>
      <w:proofErr w:type="spellStart"/>
      <w:r w:rsidRPr="00EC20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Vásquez</w:t>
      </w:r>
      <w:proofErr w:type="spellEnd"/>
      <w:r w:rsidRPr="00EC20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F. (2020). </w:t>
      </w:r>
      <w:r w:rsidRPr="00EC20E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Corporate-Sector Functional Currency: An International Comparison</w:t>
      </w:r>
      <w:r w:rsidRPr="00EC20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(No. 882). Central Bank of Chile.</w:t>
      </w:r>
    </w:p>
    <w:p w:rsidR="00E34EEA" w:rsidRPr="00EC20EF" w:rsidRDefault="00E34EEA" w:rsidP="00E34EE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EC20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Gębska</w:t>
      </w:r>
      <w:proofErr w:type="spellEnd"/>
      <w:r w:rsidRPr="00EC20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 (2020). Globalization in Growing Financial Markets as a Threat to the Financial Security of the Global Economy.</w:t>
      </w:r>
    </w:p>
    <w:p w:rsidR="00E34EEA" w:rsidRPr="00EC20EF" w:rsidRDefault="00E34EEA" w:rsidP="00E34EE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C20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Guillen-Cuevas, K., Ortiz-Espinoza, A. P., </w:t>
      </w:r>
      <w:proofErr w:type="spellStart"/>
      <w:r w:rsidRPr="00EC20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Ozinan</w:t>
      </w:r>
      <w:proofErr w:type="spellEnd"/>
      <w:r w:rsidRPr="00EC20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E., </w:t>
      </w:r>
      <w:proofErr w:type="spellStart"/>
      <w:r w:rsidRPr="00EC20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Jiménez-Gutiérrez</w:t>
      </w:r>
      <w:proofErr w:type="spellEnd"/>
      <w:r w:rsidRPr="00EC20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A., </w:t>
      </w:r>
      <w:proofErr w:type="spellStart"/>
      <w:r w:rsidRPr="00EC20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Kazantzis</w:t>
      </w:r>
      <w:proofErr w:type="spellEnd"/>
      <w:r w:rsidRPr="00EC20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N. K., &amp; El-</w:t>
      </w:r>
      <w:proofErr w:type="spellStart"/>
      <w:r w:rsidRPr="00EC20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Halwagi</w:t>
      </w:r>
      <w:proofErr w:type="spellEnd"/>
      <w:r w:rsidRPr="00EC20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 M. (2018). Incorporation of safety and sustainability in conceptual design via a return on investment metric. </w:t>
      </w:r>
      <w:r w:rsidRPr="00EC20E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ACS Sustainable Chemistry &amp; Engineering</w:t>
      </w:r>
      <w:r w:rsidRPr="00EC20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C20E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</w:t>
      </w:r>
      <w:r w:rsidRPr="00EC20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1411-1416.</w:t>
      </w:r>
    </w:p>
    <w:p w:rsidR="00E34EEA" w:rsidRPr="00EC20EF" w:rsidRDefault="00E34EEA" w:rsidP="00E34EE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C20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Lee, I. S., &amp; Kang, I. W. (2019). A Study on the Effect of Corporate Social Responsibility on Organizational Commitment, Organizational Trust, Organizational Citizenship Behavior: Focusing on Incorporation Companies in Business Incubator. </w:t>
      </w:r>
      <w:r w:rsidRPr="00EC20E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Asia-Pacific Journal of Business Venturing and Entrepreneurship</w:t>
      </w:r>
      <w:r w:rsidRPr="00EC20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C20E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14</w:t>
      </w:r>
      <w:r w:rsidRPr="00EC20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235-247.</w:t>
      </w:r>
    </w:p>
    <w:p w:rsidR="00E34EEA" w:rsidRPr="00EC20EF" w:rsidRDefault="00E34EEA" w:rsidP="00E34EE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C20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Natalie Tatiana </w:t>
      </w:r>
      <w:proofErr w:type="spellStart"/>
      <w:r w:rsidRPr="00EC20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Churyk</w:t>
      </w:r>
      <w:proofErr w:type="spellEnd"/>
      <w:r w:rsidRPr="00EC20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Ph.D., C. P. A. (2017). Foreign Currency Translation and Consolidation: A Case Study. </w:t>
      </w:r>
      <w:r w:rsidRPr="00EC20E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Global Perspectives on Accounting Education</w:t>
      </w:r>
      <w:r w:rsidRPr="00EC20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C20E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14</w:t>
      </w:r>
      <w:r w:rsidRPr="00EC20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1-9.</w:t>
      </w:r>
    </w:p>
    <w:p w:rsidR="00E34EEA" w:rsidRPr="00EC20EF" w:rsidRDefault="00E34EEA" w:rsidP="00E34EE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C20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Robinson, T. R. (2020). </w:t>
      </w:r>
      <w:r w:rsidRPr="00EC20E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financial statement analysis</w:t>
      </w:r>
      <w:r w:rsidRPr="00EC20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John Wiley &amp; Sons.</w:t>
      </w:r>
    </w:p>
    <w:p w:rsidR="00E34EEA" w:rsidRPr="00EC20EF" w:rsidRDefault="00E34EEA" w:rsidP="00E34EE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C20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SHAMSUDIN, M. Y. H. (2017). </w:t>
      </w:r>
      <w:proofErr w:type="spellStart"/>
      <w:r w:rsidRPr="00EC20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SHARIʻAH</w:t>
      </w:r>
      <w:proofErr w:type="spellEnd"/>
      <w:r w:rsidRPr="00EC20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COMPLIANCE OF FOREIGN EXCHANGE TRANSACTIONS IN THE ISLAMIC BANKING INSTITUTIONS.</w:t>
      </w:r>
    </w:p>
    <w:sectPr w:rsidR="00E34EEA" w:rsidRPr="00EC20EF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94CEE" w:rsidRDefault="00194CEE" w:rsidP="00EC20EF">
      <w:pPr>
        <w:spacing w:after="0" w:line="240" w:lineRule="auto"/>
      </w:pPr>
      <w:r>
        <w:separator/>
      </w:r>
    </w:p>
  </w:endnote>
  <w:endnote w:type="continuationSeparator" w:id="0">
    <w:p w:rsidR="00194CEE" w:rsidRDefault="00194CEE" w:rsidP="00EC2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94CEE" w:rsidRDefault="00194CEE" w:rsidP="00EC20EF">
      <w:pPr>
        <w:spacing w:after="0" w:line="240" w:lineRule="auto"/>
      </w:pPr>
      <w:r>
        <w:separator/>
      </w:r>
    </w:p>
  </w:footnote>
  <w:footnote w:type="continuationSeparator" w:id="0">
    <w:p w:rsidR="00194CEE" w:rsidRDefault="00194CEE" w:rsidP="00EC20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C20EF" w:rsidRDefault="00EC20EF">
    <w:pPr>
      <w:pStyle w:val="Header"/>
      <w:jc w:val="right"/>
    </w:pPr>
    <w:r>
      <w:t xml:space="preserve">Accounting 690 Milestone Three                                                                                                                               </w:t>
    </w:r>
    <w:sdt>
      <w:sdtPr>
        <w:id w:val="39786469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5BCA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EC20EF" w:rsidRDefault="00EC20E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UwMDQzNDY0tbQ0MDJQ0lEKTi0uzszPAykwrAUAPDZ5piwAAAA="/>
  </w:docVars>
  <w:rsids>
    <w:rsidRoot w:val="009E5FE9"/>
    <w:rsid w:val="00036444"/>
    <w:rsid w:val="00044D82"/>
    <w:rsid w:val="00095047"/>
    <w:rsid w:val="00194CEE"/>
    <w:rsid w:val="002B5BCA"/>
    <w:rsid w:val="004834D3"/>
    <w:rsid w:val="00522A02"/>
    <w:rsid w:val="006048C9"/>
    <w:rsid w:val="006C6546"/>
    <w:rsid w:val="00717D92"/>
    <w:rsid w:val="007B7DC1"/>
    <w:rsid w:val="00892855"/>
    <w:rsid w:val="00895442"/>
    <w:rsid w:val="008B7673"/>
    <w:rsid w:val="00940C3B"/>
    <w:rsid w:val="00957009"/>
    <w:rsid w:val="00976339"/>
    <w:rsid w:val="009E5FE9"/>
    <w:rsid w:val="00A40CFE"/>
    <w:rsid w:val="00A7334E"/>
    <w:rsid w:val="00B02D60"/>
    <w:rsid w:val="00C57955"/>
    <w:rsid w:val="00CB482C"/>
    <w:rsid w:val="00CB5C8C"/>
    <w:rsid w:val="00CF7F03"/>
    <w:rsid w:val="00D26DEF"/>
    <w:rsid w:val="00D62058"/>
    <w:rsid w:val="00D9704F"/>
    <w:rsid w:val="00E34EEA"/>
    <w:rsid w:val="00E85C97"/>
    <w:rsid w:val="00EC20EF"/>
    <w:rsid w:val="00F23A2C"/>
    <w:rsid w:val="00FC0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8DDEDF3F-9D6F-4C1B-BC90-8E8B3F67E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20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20EF"/>
  </w:style>
  <w:style w:type="paragraph" w:styleId="Footer">
    <w:name w:val="footer"/>
    <w:basedOn w:val="Normal"/>
    <w:link w:val="FooterChar"/>
    <w:uiPriority w:val="99"/>
    <w:unhideWhenUsed/>
    <w:rsid w:val="00EC20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20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webSettings" Target="webSettings.xml" /><Relationship Id="rId7" Type="http://schemas.openxmlformats.org/officeDocument/2006/relationships/image" Target="media/image2.png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1.png" /><Relationship Id="rId5" Type="http://schemas.openxmlformats.org/officeDocument/2006/relationships/endnotes" Target="endnotes.xml" /><Relationship Id="rId10" Type="http://schemas.openxmlformats.org/officeDocument/2006/relationships/theme" Target="theme/theme1.xml" /><Relationship Id="rId4" Type="http://schemas.openxmlformats.org/officeDocument/2006/relationships/footnotes" Target="footnote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837</Words>
  <Characters>4772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tsunam</dc:creator>
  <cp:keywords/>
  <dc:description/>
  <cp:lastModifiedBy>254716226303</cp:lastModifiedBy>
  <cp:revision>2</cp:revision>
  <dcterms:created xsi:type="dcterms:W3CDTF">2021-01-22T19:17:00Z</dcterms:created>
  <dcterms:modified xsi:type="dcterms:W3CDTF">2021-01-22T19:17:00Z</dcterms:modified>
</cp:coreProperties>
</file>